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FE238" w14:textId="5A6C8CFA" w:rsidR="00995E66" w:rsidRDefault="00995E66" w:rsidP="005C26EF">
      <w:pPr>
        <w:rPr>
          <w:b/>
          <w:u w:val="single"/>
        </w:rPr>
      </w:pPr>
      <w:r w:rsidRPr="00DF2AF8">
        <w:rPr>
          <w:b/>
          <w:u w:val="single"/>
        </w:rPr>
        <w:t>StreetGames</w:t>
      </w:r>
      <w:r w:rsidR="00A36B6B">
        <w:rPr>
          <w:b/>
          <w:u w:val="single"/>
        </w:rPr>
        <w:t xml:space="preserve"> </w:t>
      </w:r>
      <w:r w:rsidRPr="00DF2AF8">
        <w:rPr>
          <w:b/>
          <w:u w:val="single"/>
        </w:rPr>
        <w:t>Ethical Fundraising Policy</w:t>
      </w:r>
      <w:r w:rsidR="00F47759">
        <w:rPr>
          <w:b/>
          <w:u w:val="single"/>
        </w:rPr>
        <w:t xml:space="preserve"> – March 2018</w:t>
      </w:r>
    </w:p>
    <w:p w14:paraId="1169301C" w14:textId="77777777" w:rsidR="00F47759" w:rsidRPr="00DF2AF8" w:rsidRDefault="00F47759" w:rsidP="005C26EF">
      <w:pPr>
        <w:rPr>
          <w:b/>
          <w:u w:val="single"/>
        </w:rPr>
      </w:pPr>
    </w:p>
    <w:p w14:paraId="25EFE239" w14:textId="77777777" w:rsidR="00995E66" w:rsidRPr="00D72212" w:rsidRDefault="00995E66" w:rsidP="00995E66">
      <w:pPr>
        <w:rPr>
          <w:b/>
          <w:u w:val="single"/>
        </w:rPr>
      </w:pPr>
      <w:r w:rsidRPr="00D72212">
        <w:rPr>
          <w:b/>
          <w:u w:val="single"/>
        </w:rPr>
        <w:t>Trustee Responsibilities</w:t>
      </w:r>
    </w:p>
    <w:p w14:paraId="25EFE23A" w14:textId="77777777" w:rsidR="00995E66" w:rsidRPr="00DF2AF8" w:rsidRDefault="00995E66" w:rsidP="00995E66">
      <w:r>
        <w:t>Trustees are reminded that w</w:t>
      </w:r>
      <w:r w:rsidRPr="003560A9">
        <w:t xml:space="preserve">hen deciding whether to accept an offer of a donation or any kind of financial support, the trustees of StreetGames </w:t>
      </w:r>
      <w:r>
        <w:t>are required</w:t>
      </w:r>
      <w:r w:rsidRPr="003560A9">
        <w:t xml:space="preserve"> to demonstrate to the Charity Commission </w:t>
      </w:r>
      <w:r w:rsidRPr="00DF2AF8">
        <w:t>that they have acted in the best interests of StreetGames in doing so. This policy enables trustees to fulfil this requirement.</w:t>
      </w:r>
    </w:p>
    <w:p w14:paraId="25EFE23B" w14:textId="77777777" w:rsidR="00404C8A" w:rsidRDefault="00404C8A">
      <w:r w:rsidRPr="00273CDF">
        <w:rPr>
          <w:b/>
          <w:u w:val="single"/>
        </w:rPr>
        <w:t xml:space="preserve">StreetGames </w:t>
      </w:r>
      <w:r>
        <w:rPr>
          <w:b/>
          <w:u w:val="single"/>
        </w:rPr>
        <w:t>Ethical Fundraising Rules</w:t>
      </w:r>
      <w:r w:rsidRPr="00DF2AF8">
        <w:t xml:space="preserve"> </w:t>
      </w:r>
    </w:p>
    <w:p w14:paraId="25EFE23C" w14:textId="0DD490C3" w:rsidR="00A60E62" w:rsidRPr="00DF2AF8" w:rsidRDefault="00096D64">
      <w:r w:rsidRPr="00DF2AF8">
        <w:t xml:space="preserve">StreetGames </w:t>
      </w:r>
      <w:r w:rsidR="008D193B" w:rsidRPr="00DF2AF8">
        <w:t>is dedicated to its mission to chang</w:t>
      </w:r>
      <w:r w:rsidR="00201AB0">
        <w:t>ing</w:t>
      </w:r>
      <w:r w:rsidR="008D193B" w:rsidRPr="00DF2AF8">
        <w:t xml:space="preserve"> lives</w:t>
      </w:r>
      <w:r w:rsidR="00DF2AF8" w:rsidRPr="00DF2AF8">
        <w:t>,</w:t>
      </w:r>
      <w:r w:rsidR="00A60E62" w:rsidRPr="00DF2AF8">
        <w:t xml:space="preserve"> chang</w:t>
      </w:r>
      <w:r w:rsidR="00201AB0">
        <w:t>ing</w:t>
      </w:r>
      <w:r w:rsidR="008D193B" w:rsidRPr="00DF2AF8">
        <w:t xml:space="preserve"> communities </w:t>
      </w:r>
      <w:r w:rsidR="00DF2AF8" w:rsidRPr="00DF2AF8">
        <w:t>and chang</w:t>
      </w:r>
      <w:r w:rsidR="00201AB0">
        <w:t xml:space="preserve">ing </w:t>
      </w:r>
      <w:r w:rsidR="008D193B" w:rsidRPr="00DF2AF8">
        <w:t>sport.</w:t>
      </w:r>
      <w:r w:rsidR="00404C8A">
        <w:t xml:space="preserve"> </w:t>
      </w:r>
      <w:r w:rsidR="00A60E62" w:rsidRPr="00DF2AF8">
        <w:t xml:space="preserve">To </w:t>
      </w:r>
      <w:r w:rsidR="000F0DCD" w:rsidRPr="00DF2AF8">
        <w:t>secure</w:t>
      </w:r>
      <w:r w:rsidR="00A60E62" w:rsidRPr="00DF2AF8">
        <w:t xml:space="preserve"> funds</w:t>
      </w:r>
      <w:bookmarkStart w:id="0" w:name="_GoBack"/>
      <w:bookmarkEnd w:id="0"/>
      <w:r w:rsidR="00A60E62" w:rsidRPr="00DF2AF8">
        <w:t xml:space="preserve"> to continue this work, StreetGames</w:t>
      </w:r>
      <w:r w:rsidR="000F0DCD" w:rsidRPr="00DF2AF8">
        <w:t xml:space="preserve"> will</w:t>
      </w:r>
      <w:r w:rsidR="00A60E62" w:rsidRPr="00DF2AF8">
        <w:t xml:space="preserve"> maintain a bro</w:t>
      </w:r>
      <w:r w:rsidR="000F0DCD" w:rsidRPr="00DF2AF8">
        <w:t xml:space="preserve">ad base of funding sources. This </w:t>
      </w:r>
      <w:r w:rsidR="00A60E62" w:rsidRPr="00DF2AF8">
        <w:t>policy provide</w:t>
      </w:r>
      <w:r w:rsidR="000F0DCD" w:rsidRPr="00DF2AF8">
        <w:t>s</w:t>
      </w:r>
      <w:r w:rsidR="00A60E62" w:rsidRPr="00DF2AF8">
        <w:t xml:space="preserve"> clarity and openness in the decision-making processes used while raising funds.</w:t>
      </w:r>
    </w:p>
    <w:p w14:paraId="25EFE23D" w14:textId="77777777" w:rsidR="00273CDF" w:rsidRPr="008B436E" w:rsidRDefault="00A60E62" w:rsidP="008B436E">
      <w:r w:rsidRPr="00DF2AF8">
        <w:t xml:space="preserve">StreetGames’ fundraising practice complies with all relevant legislation </w:t>
      </w:r>
      <w:r w:rsidRPr="003560A9">
        <w:t>including money laundering</w:t>
      </w:r>
      <w:r w:rsidR="003560A9" w:rsidRPr="003560A9">
        <w:t xml:space="preserve"> rules, the Bribery Act and Charity Commission guidance, including political activity.</w:t>
      </w:r>
    </w:p>
    <w:p w14:paraId="25EFE23E" w14:textId="77777777" w:rsidR="007B14F5" w:rsidRDefault="00EE3A5A">
      <w:r>
        <w:t>StreetGames will</w:t>
      </w:r>
      <w:r w:rsidR="007B14F5">
        <w:t xml:space="preserve"> adhere to the following fundraising rules</w:t>
      </w:r>
      <w:r>
        <w:t>:</w:t>
      </w:r>
    </w:p>
    <w:p w14:paraId="25EFE23F" w14:textId="77777777" w:rsidR="000949B4" w:rsidRDefault="000949B4" w:rsidP="000949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E4A8B">
        <w:rPr>
          <w:rFonts w:eastAsia="Times New Roman"/>
        </w:rPr>
        <w:t xml:space="preserve">StreetGames will not take donations from organisations </w:t>
      </w:r>
      <w:r w:rsidR="000F0DCD">
        <w:rPr>
          <w:rFonts w:eastAsia="Times New Roman"/>
        </w:rPr>
        <w:t>that directly promote</w:t>
      </w:r>
      <w:r w:rsidRPr="00BE4A8B">
        <w:rPr>
          <w:rFonts w:eastAsia="Times New Roman"/>
        </w:rPr>
        <w:t xml:space="preserve"> alcohol or tobacco</w:t>
      </w:r>
      <w:r>
        <w:rPr>
          <w:rFonts w:eastAsia="Times New Roman"/>
        </w:rPr>
        <w:t>.</w:t>
      </w:r>
      <w:r w:rsidRPr="00BE4A8B">
        <w:rPr>
          <w:rFonts w:eastAsia="Times New Roman"/>
        </w:rPr>
        <w:t> </w:t>
      </w:r>
    </w:p>
    <w:p w14:paraId="25EFE240" w14:textId="77777777" w:rsidR="00A81322" w:rsidRDefault="00A81322" w:rsidP="008B436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StreetGames will not support the promotion of gambling</w:t>
      </w:r>
      <w:r w:rsidR="00F94F43">
        <w:rPr>
          <w:rFonts w:eastAsia="Times New Roman"/>
        </w:rPr>
        <w:t>.</w:t>
      </w:r>
    </w:p>
    <w:p w14:paraId="25EFE241" w14:textId="77777777" w:rsidR="00A81322" w:rsidRPr="00A81322" w:rsidRDefault="007B14F5" w:rsidP="00A8132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StreetGames will not promote high sugar commodities</w:t>
      </w:r>
      <w:r w:rsidR="000949B4">
        <w:rPr>
          <w:rFonts w:eastAsia="Times New Roman"/>
        </w:rPr>
        <w:t xml:space="preserve"> to young people</w:t>
      </w:r>
      <w:r w:rsidRPr="007B14F5">
        <w:rPr>
          <w:rFonts w:eastAsia="Times New Roman"/>
        </w:rPr>
        <w:t>.</w:t>
      </w:r>
    </w:p>
    <w:p w14:paraId="25EFE242" w14:textId="77777777" w:rsidR="00D72212" w:rsidRDefault="007B14F5" w:rsidP="00D7221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E4A8B">
        <w:rPr>
          <w:rFonts w:eastAsia="Times New Roman"/>
        </w:rPr>
        <w:t xml:space="preserve">StreetGames will not promote products that may have been produced using </w:t>
      </w:r>
      <w:r w:rsidR="00D72212">
        <w:rPr>
          <w:rFonts w:eastAsia="Times New Roman"/>
        </w:rPr>
        <w:t>child-labour.</w:t>
      </w:r>
    </w:p>
    <w:p w14:paraId="25EFE243" w14:textId="77777777" w:rsidR="00D72212" w:rsidRDefault="00D72212" w:rsidP="00D7221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StreetGames will not align with sanctioned organisations.</w:t>
      </w:r>
    </w:p>
    <w:p w14:paraId="25EFE244" w14:textId="77777777" w:rsidR="00D72212" w:rsidRPr="00D72212" w:rsidRDefault="00D72212" w:rsidP="00D72212">
      <w:pPr>
        <w:pStyle w:val="ListParagraph"/>
        <w:rPr>
          <w:rFonts w:eastAsia="Times New Roman"/>
        </w:rPr>
      </w:pPr>
    </w:p>
    <w:p w14:paraId="25EFE245" w14:textId="77777777" w:rsidR="00BE4A8B" w:rsidRPr="00BE4A8B" w:rsidRDefault="00BE4A8B" w:rsidP="00BE4A8B">
      <w:pPr>
        <w:rPr>
          <w:rFonts w:eastAsia="Times New Roman"/>
        </w:rPr>
      </w:pPr>
      <w:r>
        <w:rPr>
          <w:rFonts w:eastAsia="Times New Roman"/>
        </w:rPr>
        <w:t>The following caveat</w:t>
      </w:r>
      <w:r w:rsidR="00FA1065">
        <w:rPr>
          <w:rFonts w:eastAsia="Times New Roman"/>
        </w:rPr>
        <w:t>s</w:t>
      </w:r>
      <w:r>
        <w:rPr>
          <w:rFonts w:eastAsia="Times New Roman"/>
        </w:rPr>
        <w:t xml:space="preserve"> will be added to this framework:</w:t>
      </w:r>
    </w:p>
    <w:p w14:paraId="25EFE246" w14:textId="77777777" w:rsidR="00A81322" w:rsidRDefault="00A81322" w:rsidP="00FA106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StreetGames will </w:t>
      </w:r>
      <w:r w:rsidR="000F0DCD">
        <w:rPr>
          <w:rFonts w:eastAsia="Times New Roman"/>
        </w:rPr>
        <w:t>execute</w:t>
      </w:r>
      <w:r>
        <w:rPr>
          <w:rFonts w:eastAsia="Times New Roman"/>
        </w:rPr>
        <w:t xml:space="preserve"> its duty to consider the origins of monies donated</w:t>
      </w:r>
      <w:r w:rsidR="000F0DCD">
        <w:rPr>
          <w:rFonts w:eastAsia="Times New Roman"/>
        </w:rPr>
        <w:t>.</w:t>
      </w:r>
    </w:p>
    <w:p w14:paraId="25EFE247" w14:textId="5EB4CB5B" w:rsidR="007B14F5" w:rsidRDefault="00EE3A5A" w:rsidP="000949B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E3A5A">
        <w:rPr>
          <w:rFonts w:eastAsia="Times New Roman"/>
        </w:rPr>
        <w:t>StreetGames will</w:t>
      </w:r>
      <w:r w:rsidR="007B14F5" w:rsidRPr="00EE3A5A">
        <w:rPr>
          <w:rFonts w:eastAsia="Times New Roman"/>
        </w:rPr>
        <w:t xml:space="preserve"> ensure reputational risk</w:t>
      </w:r>
      <w:r w:rsidR="00BE4A8B">
        <w:rPr>
          <w:rFonts w:eastAsia="Times New Roman"/>
        </w:rPr>
        <w:t xml:space="preserve"> is considered </w:t>
      </w:r>
      <w:r w:rsidR="007B14F5" w:rsidRPr="00EE3A5A">
        <w:rPr>
          <w:rFonts w:eastAsia="Times New Roman"/>
        </w:rPr>
        <w:t>before agreeing</w:t>
      </w:r>
      <w:r w:rsidR="00201AB0">
        <w:rPr>
          <w:rFonts w:eastAsia="Times New Roman"/>
        </w:rPr>
        <w:t xml:space="preserve"> to</w:t>
      </w:r>
      <w:r w:rsidR="007B14F5" w:rsidRPr="00EE3A5A">
        <w:rPr>
          <w:rFonts w:eastAsia="Times New Roman"/>
        </w:rPr>
        <w:t xml:space="preserve"> any</w:t>
      </w:r>
      <w:r w:rsidR="00F9641D">
        <w:rPr>
          <w:rFonts w:eastAsia="Times New Roman"/>
        </w:rPr>
        <w:t xml:space="preserve"> commercial</w:t>
      </w:r>
      <w:r w:rsidR="007B14F5" w:rsidRPr="00EE3A5A">
        <w:rPr>
          <w:rFonts w:eastAsia="Times New Roman"/>
        </w:rPr>
        <w:t xml:space="preserve"> partnership or donation. </w:t>
      </w:r>
      <w:r w:rsidR="00FA1065" w:rsidRPr="00EE3A5A">
        <w:rPr>
          <w:rFonts w:eastAsia="Times New Roman"/>
        </w:rPr>
        <w:t xml:space="preserve">StreetGames will not proceed </w:t>
      </w:r>
      <w:r w:rsidR="00FA1065">
        <w:rPr>
          <w:rFonts w:eastAsia="Times New Roman"/>
        </w:rPr>
        <w:t>w</w:t>
      </w:r>
      <w:r w:rsidR="007B14F5" w:rsidRPr="00EE3A5A">
        <w:rPr>
          <w:rFonts w:eastAsia="Times New Roman"/>
        </w:rPr>
        <w:t xml:space="preserve">here the reputational risk is judged to outweigh </w:t>
      </w:r>
      <w:r w:rsidR="008E2BDB" w:rsidRPr="00EE3A5A">
        <w:rPr>
          <w:rFonts w:eastAsia="Times New Roman"/>
        </w:rPr>
        <w:t>the benefits of partne</w:t>
      </w:r>
      <w:r w:rsidR="000949B4">
        <w:rPr>
          <w:rFonts w:eastAsia="Times New Roman"/>
        </w:rPr>
        <w:t>rship or receipt of a donation</w:t>
      </w:r>
      <w:r w:rsidR="00C260FB">
        <w:rPr>
          <w:rFonts w:eastAsia="Times New Roman"/>
        </w:rPr>
        <w:t>(</w:t>
      </w:r>
      <w:r w:rsidR="000949B4">
        <w:rPr>
          <w:rFonts w:eastAsia="Times New Roman"/>
        </w:rPr>
        <w:t>s</w:t>
      </w:r>
      <w:r w:rsidR="00C260FB">
        <w:rPr>
          <w:rFonts w:eastAsia="Times New Roman"/>
        </w:rPr>
        <w:t>)</w:t>
      </w:r>
      <w:r w:rsidR="000949B4">
        <w:rPr>
          <w:rFonts w:eastAsia="Times New Roman"/>
        </w:rPr>
        <w:t xml:space="preserve">. </w:t>
      </w:r>
      <w:r w:rsidR="009D7FB6" w:rsidRPr="000949B4">
        <w:rPr>
          <w:rFonts w:eastAsia="Times New Roman"/>
        </w:rPr>
        <w:t>Instances where</w:t>
      </w:r>
      <w:r w:rsidR="00201AB0">
        <w:rPr>
          <w:rFonts w:eastAsia="Times New Roman"/>
        </w:rPr>
        <w:t xml:space="preserve"> </w:t>
      </w:r>
      <w:r w:rsidR="00FA1065" w:rsidRPr="000949B4">
        <w:rPr>
          <w:rFonts w:eastAsia="Times New Roman"/>
        </w:rPr>
        <w:t xml:space="preserve">management </w:t>
      </w:r>
      <w:r w:rsidR="009D7FB6" w:rsidRPr="000949B4">
        <w:rPr>
          <w:rFonts w:eastAsia="Times New Roman"/>
        </w:rPr>
        <w:t xml:space="preserve">conclude </w:t>
      </w:r>
      <w:r w:rsidR="008E2BDB" w:rsidRPr="000949B4">
        <w:rPr>
          <w:rFonts w:eastAsia="Times New Roman"/>
        </w:rPr>
        <w:t>further consideration is needed will be referred to</w:t>
      </w:r>
      <w:r w:rsidR="009D7FB6" w:rsidRPr="000949B4">
        <w:rPr>
          <w:rFonts w:eastAsia="Times New Roman"/>
        </w:rPr>
        <w:t xml:space="preserve"> the Board.</w:t>
      </w:r>
    </w:p>
    <w:p w14:paraId="25EFE248" w14:textId="77777777" w:rsidR="000949B4" w:rsidRPr="000949B4" w:rsidRDefault="000949B4" w:rsidP="000949B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Management will seek approval</w:t>
      </w:r>
      <w:r w:rsidR="00E0336F">
        <w:rPr>
          <w:rFonts w:eastAsia="Times New Roman"/>
        </w:rPr>
        <w:t xml:space="preserve"> from the board of trustees</w:t>
      </w:r>
      <w:r>
        <w:rPr>
          <w:rFonts w:eastAsia="Times New Roman"/>
        </w:rPr>
        <w:t xml:space="preserve"> for a corporate partnership with a value of over £20,000 or that carries a potential for high exposure</w:t>
      </w:r>
      <w:r w:rsidR="00C260FB">
        <w:rPr>
          <w:rFonts w:eastAsia="Times New Roman"/>
        </w:rPr>
        <w:t xml:space="preserve"> to reputational risk through adverse publicity or media coverage</w:t>
      </w:r>
      <w:r>
        <w:rPr>
          <w:rFonts w:eastAsia="Times New Roman"/>
        </w:rPr>
        <w:t>.</w:t>
      </w:r>
    </w:p>
    <w:p w14:paraId="25EFE249" w14:textId="77777777" w:rsidR="009D7FB6" w:rsidRDefault="009D7FB6" w:rsidP="009D7FB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All commercial partnerships and large donations will be reported to Board.</w:t>
      </w:r>
    </w:p>
    <w:p w14:paraId="25EFE24A" w14:textId="285F133B" w:rsidR="009E7759" w:rsidRDefault="0061603D" w:rsidP="009E775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application of this framework and</w:t>
      </w:r>
      <w:r w:rsidR="00006650">
        <w:rPr>
          <w:rFonts w:eastAsia="Times New Roman"/>
        </w:rPr>
        <w:t xml:space="preserve"> any other</w:t>
      </w:r>
      <w:r>
        <w:rPr>
          <w:rFonts w:eastAsia="Times New Roman"/>
        </w:rPr>
        <w:t xml:space="preserve"> decisions </w:t>
      </w:r>
      <w:r w:rsidR="00C13D34">
        <w:rPr>
          <w:rFonts w:eastAsia="Times New Roman"/>
        </w:rPr>
        <w:t>relating to fundraising</w:t>
      </w:r>
      <w:r w:rsidR="00672E93">
        <w:rPr>
          <w:rFonts w:eastAsia="Times New Roman"/>
        </w:rPr>
        <w:t xml:space="preserve"> under </w:t>
      </w:r>
      <w:r w:rsidR="00201AB0">
        <w:rPr>
          <w:rFonts w:eastAsia="Times New Roman"/>
        </w:rPr>
        <w:t xml:space="preserve">the value of </w:t>
      </w:r>
      <w:r w:rsidR="00672E93">
        <w:rPr>
          <w:rFonts w:eastAsia="Times New Roman"/>
        </w:rPr>
        <w:t>£20,000</w:t>
      </w:r>
      <w:r w:rsidR="00C13D34">
        <w:rPr>
          <w:rFonts w:eastAsia="Times New Roman"/>
        </w:rPr>
        <w:t xml:space="preserve"> will be made by the Director of Fundraising and Communications and the CEO</w:t>
      </w:r>
      <w:r w:rsidR="00DF2AF8">
        <w:rPr>
          <w:rFonts w:eastAsia="Times New Roman"/>
        </w:rPr>
        <w:t>.</w:t>
      </w:r>
    </w:p>
    <w:p w14:paraId="7D539D47" w14:textId="77777777" w:rsidR="00201AB0" w:rsidRDefault="00201AB0" w:rsidP="00D72212"/>
    <w:p w14:paraId="25EFE24C" w14:textId="1EAA10CF" w:rsidR="00D72212" w:rsidRPr="003560A9" w:rsidRDefault="00D72212" w:rsidP="00D72212">
      <w:r w:rsidRPr="003560A9">
        <w:t>We actively seek opportunities to work with external organisations, businesses and individuals to achieve shared objectives</w:t>
      </w:r>
      <w:r>
        <w:t>. However, i</w:t>
      </w:r>
      <w:r w:rsidRPr="003560A9">
        <w:t>t is vital that StreetGames retains its independence and will not enter into partnerships or initiatives that compromise that independence.</w:t>
      </w:r>
    </w:p>
    <w:p w14:paraId="25EFE24D" w14:textId="77777777" w:rsidR="00D72212" w:rsidRPr="00D72212" w:rsidRDefault="00D72212" w:rsidP="00D72212">
      <w:pPr>
        <w:rPr>
          <w:rFonts w:eastAsia="Times New Roman"/>
        </w:rPr>
      </w:pPr>
    </w:p>
    <w:sectPr w:rsidR="00D72212" w:rsidRPr="00D72212" w:rsidSect="00C172A4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FE250" w14:textId="77777777" w:rsidR="00AE28DD" w:rsidRDefault="00AE28DD" w:rsidP="003C7EAA">
      <w:pPr>
        <w:spacing w:after="0" w:line="240" w:lineRule="auto"/>
      </w:pPr>
      <w:r>
        <w:separator/>
      </w:r>
    </w:p>
  </w:endnote>
  <w:endnote w:type="continuationSeparator" w:id="0">
    <w:p w14:paraId="25EFE251" w14:textId="77777777" w:rsidR="00AE28DD" w:rsidRDefault="00AE28DD" w:rsidP="003C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526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FE257" w14:textId="77777777" w:rsidR="003C7EAA" w:rsidRDefault="009E7759">
        <w:pPr>
          <w:pStyle w:val="Footer"/>
          <w:jc w:val="right"/>
          <w:rPr>
            <w:noProof/>
          </w:rPr>
        </w:pPr>
        <w:r w:rsidRPr="009E7759">
          <w:rPr>
            <w:i/>
            <w:iCs/>
            <w:sz w:val="20"/>
            <w:szCs w:val="20"/>
          </w:rPr>
          <w:t>StreetGames Ethical Fundraising Policy</w:t>
        </w:r>
        <w:r>
          <w:tab/>
        </w:r>
        <w:r w:rsidR="003C7EAA">
          <w:fldChar w:fldCharType="begin"/>
        </w:r>
        <w:r w:rsidR="003C7EAA">
          <w:instrText xml:space="preserve"> PAGE   \* MERGEFORMAT </w:instrText>
        </w:r>
        <w:r w:rsidR="003C7EAA">
          <w:fldChar w:fldCharType="separate"/>
        </w:r>
        <w:r w:rsidR="008B436E">
          <w:rPr>
            <w:noProof/>
          </w:rPr>
          <w:t>2</w:t>
        </w:r>
        <w:r w:rsidR="003C7EAA">
          <w:rPr>
            <w:noProof/>
          </w:rPr>
          <w:fldChar w:fldCharType="end"/>
        </w:r>
      </w:p>
      <w:p w14:paraId="25EFE258" w14:textId="77777777" w:rsidR="003C7EAA" w:rsidRDefault="009E7759" w:rsidP="009E7759">
        <w:pPr>
          <w:pStyle w:val="Footer"/>
          <w:tabs>
            <w:tab w:val="left" w:pos="6660"/>
          </w:tabs>
        </w:pPr>
        <w:r>
          <w:rPr>
            <w:noProof/>
          </w:rPr>
          <w:tab/>
        </w:r>
        <w:r>
          <w:rPr>
            <w:noProof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28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FE259" w14:textId="351DB469" w:rsidR="00C172A4" w:rsidRDefault="009E7759">
        <w:pPr>
          <w:pStyle w:val="Footer"/>
          <w:jc w:val="right"/>
        </w:pPr>
        <w:r w:rsidRPr="009E7759">
          <w:rPr>
            <w:i/>
            <w:iCs/>
            <w:sz w:val="20"/>
            <w:szCs w:val="20"/>
          </w:rPr>
          <w:t>StreetGames</w:t>
        </w:r>
        <w:r w:rsidR="008B436E">
          <w:rPr>
            <w:i/>
            <w:iCs/>
            <w:sz w:val="20"/>
            <w:szCs w:val="20"/>
          </w:rPr>
          <w:t xml:space="preserve"> </w:t>
        </w:r>
        <w:r w:rsidRPr="009E7759">
          <w:rPr>
            <w:i/>
            <w:iCs/>
            <w:sz w:val="20"/>
            <w:szCs w:val="20"/>
          </w:rPr>
          <w:t>Ethical Fundraising Policy</w:t>
        </w:r>
        <w:r>
          <w:tab/>
        </w:r>
        <w:r w:rsidR="00C172A4">
          <w:fldChar w:fldCharType="begin"/>
        </w:r>
        <w:r w:rsidR="00C172A4">
          <w:instrText xml:space="preserve"> PAGE   \* MERGEFORMAT </w:instrText>
        </w:r>
        <w:r w:rsidR="00C172A4">
          <w:fldChar w:fldCharType="separate"/>
        </w:r>
        <w:r w:rsidR="00A36B6B">
          <w:rPr>
            <w:noProof/>
          </w:rPr>
          <w:t>1</w:t>
        </w:r>
        <w:r w:rsidR="00C172A4">
          <w:rPr>
            <w:noProof/>
          </w:rPr>
          <w:fldChar w:fldCharType="end"/>
        </w:r>
      </w:p>
    </w:sdtContent>
  </w:sdt>
  <w:p w14:paraId="25EFE25A" w14:textId="77777777" w:rsidR="00C172A4" w:rsidRDefault="009E7759" w:rsidP="009E7759">
    <w:pPr>
      <w:pStyle w:val="Footer"/>
      <w:tabs>
        <w:tab w:val="clear" w:pos="4513"/>
        <w:tab w:val="clear" w:pos="9026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FE24E" w14:textId="77777777" w:rsidR="00AE28DD" w:rsidRDefault="00AE28DD" w:rsidP="003C7EAA">
      <w:pPr>
        <w:spacing w:after="0" w:line="240" w:lineRule="auto"/>
      </w:pPr>
      <w:r>
        <w:separator/>
      </w:r>
    </w:p>
  </w:footnote>
  <w:footnote w:type="continuationSeparator" w:id="0">
    <w:p w14:paraId="25EFE24F" w14:textId="77777777" w:rsidR="00AE28DD" w:rsidRDefault="00AE28DD" w:rsidP="003C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E252" w14:textId="77777777" w:rsidR="00C172A4" w:rsidRDefault="00C172A4">
    <w:pPr>
      <w:pStyle w:val="Header"/>
    </w:pPr>
  </w:p>
  <w:p w14:paraId="25EFE253" w14:textId="77777777" w:rsidR="00C172A4" w:rsidRDefault="00C172A4">
    <w:pPr>
      <w:pStyle w:val="Header"/>
    </w:pPr>
  </w:p>
  <w:p w14:paraId="25EFE254" w14:textId="77777777" w:rsidR="00C172A4" w:rsidRDefault="00C172A4">
    <w:pPr>
      <w:pStyle w:val="Header"/>
    </w:pPr>
  </w:p>
  <w:p w14:paraId="25EFE255" w14:textId="77777777" w:rsidR="00C172A4" w:rsidRDefault="00C172A4">
    <w:pPr>
      <w:pStyle w:val="Header"/>
    </w:pPr>
  </w:p>
  <w:p w14:paraId="25EFE256" w14:textId="77777777" w:rsidR="00C172A4" w:rsidRDefault="00C1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40081"/>
    <w:multiLevelType w:val="hybridMultilevel"/>
    <w:tmpl w:val="20640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F5"/>
    <w:rsid w:val="000043A1"/>
    <w:rsid w:val="00006650"/>
    <w:rsid w:val="00044DC3"/>
    <w:rsid w:val="00092C65"/>
    <w:rsid w:val="000949B4"/>
    <w:rsid w:val="00096D64"/>
    <w:rsid w:val="000F0DCD"/>
    <w:rsid w:val="00187183"/>
    <w:rsid w:val="001C7BA5"/>
    <w:rsid w:val="00201AB0"/>
    <w:rsid w:val="002531A5"/>
    <w:rsid w:val="00273CDF"/>
    <w:rsid w:val="002E2F0E"/>
    <w:rsid w:val="00305381"/>
    <w:rsid w:val="00342A4C"/>
    <w:rsid w:val="003560A9"/>
    <w:rsid w:val="00374AB8"/>
    <w:rsid w:val="003A7D08"/>
    <w:rsid w:val="003C7EAA"/>
    <w:rsid w:val="003E50AE"/>
    <w:rsid w:val="00404C8A"/>
    <w:rsid w:val="00442331"/>
    <w:rsid w:val="004B05F9"/>
    <w:rsid w:val="004F0CAE"/>
    <w:rsid w:val="0055004A"/>
    <w:rsid w:val="005A79A2"/>
    <w:rsid w:val="005C26EF"/>
    <w:rsid w:val="0061603D"/>
    <w:rsid w:val="0064610B"/>
    <w:rsid w:val="00672E93"/>
    <w:rsid w:val="00691D77"/>
    <w:rsid w:val="006B4E75"/>
    <w:rsid w:val="007B14F5"/>
    <w:rsid w:val="008B436E"/>
    <w:rsid w:val="008C015C"/>
    <w:rsid w:val="008D193B"/>
    <w:rsid w:val="008E2BDB"/>
    <w:rsid w:val="00903085"/>
    <w:rsid w:val="00995E66"/>
    <w:rsid w:val="009D7FB6"/>
    <w:rsid w:val="009E7759"/>
    <w:rsid w:val="00A36B6B"/>
    <w:rsid w:val="00A60E62"/>
    <w:rsid w:val="00A81322"/>
    <w:rsid w:val="00AA1B89"/>
    <w:rsid w:val="00AE28DD"/>
    <w:rsid w:val="00BE4A8B"/>
    <w:rsid w:val="00C04D4D"/>
    <w:rsid w:val="00C13D34"/>
    <w:rsid w:val="00C172A4"/>
    <w:rsid w:val="00C260FB"/>
    <w:rsid w:val="00D2548D"/>
    <w:rsid w:val="00D43263"/>
    <w:rsid w:val="00D57DD4"/>
    <w:rsid w:val="00D72212"/>
    <w:rsid w:val="00DB58E5"/>
    <w:rsid w:val="00DC3DCB"/>
    <w:rsid w:val="00DF2AF8"/>
    <w:rsid w:val="00E0336F"/>
    <w:rsid w:val="00E20D5D"/>
    <w:rsid w:val="00E57514"/>
    <w:rsid w:val="00E92F4B"/>
    <w:rsid w:val="00EE3A5A"/>
    <w:rsid w:val="00F16BF7"/>
    <w:rsid w:val="00F21AFB"/>
    <w:rsid w:val="00F234FA"/>
    <w:rsid w:val="00F47759"/>
    <w:rsid w:val="00F94F43"/>
    <w:rsid w:val="00F9641D"/>
    <w:rsid w:val="00FA1065"/>
    <w:rsid w:val="00FA5D1F"/>
    <w:rsid w:val="00FB793F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EFE236"/>
  <w15:docId w15:val="{72A543F9-480C-464D-9B76-96F6A55D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EAA"/>
  </w:style>
  <w:style w:type="paragraph" w:styleId="Footer">
    <w:name w:val="footer"/>
    <w:basedOn w:val="Normal"/>
    <w:link w:val="FooterChar"/>
    <w:uiPriority w:val="99"/>
    <w:unhideWhenUsed/>
    <w:rsid w:val="003C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AA"/>
  </w:style>
  <w:style w:type="paragraph" w:styleId="FootnoteText">
    <w:name w:val="footnote text"/>
    <w:basedOn w:val="Normal"/>
    <w:link w:val="FootnoteTextChar"/>
    <w:uiPriority w:val="99"/>
    <w:semiHidden/>
    <w:unhideWhenUsed/>
    <w:rsid w:val="000043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43A1"/>
    <w:rPr>
      <w:vertAlign w:val="superscript"/>
    </w:rPr>
  </w:style>
  <w:style w:type="table" w:styleId="TableGrid">
    <w:name w:val="Table Grid"/>
    <w:basedOn w:val="TableNormal"/>
    <w:uiPriority w:val="59"/>
    <w:rsid w:val="009E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7710-15C4-4132-8E0B-93CE0BD93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4C676-52C4-47FB-8B7A-F4ACF78CD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E1C53-77D1-4B9B-8EBF-73612244D830}">
  <ds:schemaRefs>
    <ds:schemaRef ds:uri="http://schemas.microsoft.com/office/2006/documentManagement/types"/>
    <ds:schemaRef ds:uri="http://purl.org/dc/terms/"/>
    <ds:schemaRef ds:uri="http://purl.org/dc/elements/1.1/"/>
    <ds:schemaRef ds:uri="466190fe-a96a-4ad0-afdc-68b9082f2d8f"/>
    <ds:schemaRef ds:uri="http://schemas.microsoft.com/office/infopath/2007/PartnerControls"/>
    <ds:schemaRef ds:uri="http://schemas.openxmlformats.org/package/2006/metadata/core-properties"/>
    <ds:schemaRef ds:uri="baf9db07-c9ac-4ef7-964e-e86a4b73c92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BAD402-6B23-4854-92F9-BC657453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Pilkington</dc:creator>
  <cp:keywords/>
  <dc:description/>
  <cp:lastModifiedBy>Mollie Kay-Hough</cp:lastModifiedBy>
  <cp:revision>18</cp:revision>
  <dcterms:created xsi:type="dcterms:W3CDTF">2018-02-20T12:28:00Z</dcterms:created>
  <dcterms:modified xsi:type="dcterms:W3CDTF">2022-02-09T23:03:00Z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551200</vt:r8>
  </property>
</Properties>
</file>